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4221" w14:textId="77777777"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14:paraId="14EEB02D" w14:textId="1FCAA610" w:rsidR="00A8614A" w:rsidRPr="00A8614A" w:rsidRDefault="007C627E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Train </w:t>
      </w:r>
      <w:r w:rsidR="0071458F">
        <w:rPr>
          <w:rFonts w:ascii="Arial Black" w:hAnsi="Arial Black"/>
          <w:bCs/>
          <w:sz w:val="28"/>
          <w:szCs w:val="28"/>
        </w:rPr>
        <w:t>+</w:t>
      </w:r>
      <w:r>
        <w:rPr>
          <w:rFonts w:ascii="Arial Black" w:hAnsi="Arial Black"/>
          <w:bCs/>
          <w:sz w:val="28"/>
          <w:szCs w:val="28"/>
        </w:rPr>
        <w:t xml:space="preserve"> Protect</w:t>
      </w:r>
      <w:r w:rsidR="00342399">
        <w:rPr>
          <w:rFonts w:ascii="Arial Black" w:hAnsi="Arial Black"/>
          <w:bCs/>
          <w:sz w:val="28"/>
          <w:szCs w:val="28"/>
        </w:rPr>
        <w:t xml:space="preserve"> 10mm Auto</w:t>
      </w:r>
    </w:p>
    <w:p w14:paraId="23E96D11" w14:textId="10C7DFA9" w:rsidR="007C627E" w:rsidRPr="007C627E" w:rsidRDefault="005C7FAC" w:rsidP="007C627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Federal</w:t>
      </w:r>
      <w:r w:rsidRPr="0018269B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made it easier than ever to honor your </w:t>
      </w:r>
      <w:r w:rsidR="007C627E" w:rsidRPr="007C627E">
        <w:rPr>
          <w:rFonts w:ascii="Arial" w:hAnsi="Arial" w:cs="Arial"/>
        </w:rPr>
        <w:t xml:space="preserve">birthright to bear arms with </w:t>
      </w:r>
      <w:r w:rsidR="00C9653F">
        <w:rPr>
          <w:rFonts w:ascii="Arial" w:hAnsi="Arial" w:cs="Arial"/>
        </w:rPr>
        <w:t>a new</w:t>
      </w:r>
      <w:r>
        <w:rPr>
          <w:rFonts w:ascii="Arial" w:hAnsi="Arial" w:cs="Arial"/>
        </w:rPr>
        <w:t xml:space="preserve"> Train + Protect™ load in </w:t>
      </w:r>
      <w:r w:rsidR="00C9653F">
        <w:rPr>
          <w:rFonts w:ascii="Arial" w:hAnsi="Arial" w:cs="Arial"/>
        </w:rPr>
        <w:t>10mm</w:t>
      </w:r>
      <w:r>
        <w:rPr>
          <w:rFonts w:ascii="Arial" w:hAnsi="Arial" w:cs="Arial"/>
        </w:rPr>
        <w:t xml:space="preserve"> Auto</w:t>
      </w:r>
      <w:r w:rsidR="00C9653F">
        <w:rPr>
          <w:rFonts w:ascii="Arial" w:hAnsi="Arial" w:cs="Arial"/>
        </w:rPr>
        <w:t>. The full-power offering</w:t>
      </w:r>
      <w:r>
        <w:rPr>
          <w:rFonts w:ascii="Arial" w:hAnsi="Arial" w:cs="Arial"/>
        </w:rPr>
        <w:t xml:space="preserve"> feature</w:t>
      </w:r>
      <w:r w:rsidR="00C9653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C9653F">
        <w:rPr>
          <w:rFonts w:ascii="Arial" w:hAnsi="Arial" w:cs="Arial"/>
        </w:rPr>
        <w:t xml:space="preserve">a </w:t>
      </w:r>
      <w:r w:rsidR="007C627E" w:rsidRPr="007C627E">
        <w:rPr>
          <w:rFonts w:ascii="Arial" w:hAnsi="Arial" w:cs="Arial"/>
        </w:rPr>
        <w:t>VHP</w:t>
      </w:r>
      <w:r w:rsidR="007C627E" w:rsidRPr="007C627E">
        <w:rPr>
          <w:rFonts w:ascii="Arial" w:hAnsi="Arial" w:cs="Arial"/>
          <w:vertAlign w:val="superscript"/>
        </w:rPr>
        <w:t>™</w:t>
      </w:r>
      <w:r w:rsidR="007C627E" w:rsidRPr="007C627E">
        <w:rPr>
          <w:rFonts w:ascii="Arial" w:hAnsi="Arial" w:cs="Arial"/>
        </w:rPr>
        <w:t xml:space="preserve"> bullet </w:t>
      </w:r>
      <w:r>
        <w:rPr>
          <w:rFonts w:ascii="Arial" w:hAnsi="Arial" w:cs="Arial"/>
        </w:rPr>
        <w:t>to deliver</w:t>
      </w:r>
      <w:r w:rsidR="007C627E" w:rsidRPr="007C627E">
        <w:rPr>
          <w:rFonts w:ascii="Arial" w:hAnsi="Arial" w:cs="Arial"/>
        </w:rPr>
        <w:t xml:space="preserve"> both precise, practical performance at the range</w:t>
      </w:r>
      <w:r w:rsidR="0071458F">
        <w:rPr>
          <w:rFonts w:ascii="Arial" w:hAnsi="Arial" w:cs="Arial"/>
        </w:rPr>
        <w:t xml:space="preserve">, and instant, </w:t>
      </w:r>
      <w:r w:rsidR="00F82861" w:rsidRPr="00F82861">
        <w:rPr>
          <w:rFonts w:ascii="Arial" w:hAnsi="Arial" w:cs="Arial"/>
        </w:rPr>
        <w:t>reliable</w:t>
      </w:r>
      <w:r w:rsidR="00F82861">
        <w:rPr>
          <w:rFonts w:ascii="Arial" w:hAnsi="Arial" w:cs="Arial"/>
        </w:rPr>
        <w:t xml:space="preserve"> </w:t>
      </w:r>
      <w:r w:rsidR="007C627E" w:rsidRPr="007C627E">
        <w:rPr>
          <w:rFonts w:ascii="Arial" w:hAnsi="Arial" w:cs="Arial"/>
        </w:rPr>
        <w:t>expansion on impact</w:t>
      </w:r>
      <w:r>
        <w:rPr>
          <w:rFonts w:ascii="Arial" w:hAnsi="Arial" w:cs="Arial"/>
        </w:rPr>
        <w:t>.</w:t>
      </w:r>
    </w:p>
    <w:p w14:paraId="4D09D9ED" w14:textId="77777777" w:rsidR="007C627E" w:rsidRPr="007C627E" w:rsidRDefault="007C627E" w:rsidP="007C627E">
      <w:pPr>
        <w:pStyle w:val="Header"/>
        <w:rPr>
          <w:rFonts w:ascii="Arial" w:hAnsi="Arial" w:cs="Arial"/>
        </w:rPr>
      </w:pPr>
    </w:p>
    <w:p w14:paraId="0DFA2E25" w14:textId="77777777"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14:paraId="51C8FB23" w14:textId="41895435" w:rsidR="005C7FAC" w:rsidRDefault="005C7FAC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</w:t>
      </w:r>
      <w:r w:rsidR="00153B46">
        <w:rPr>
          <w:rFonts w:ascii="Arial" w:hAnsi="Arial" w:cs="Arial"/>
        </w:rPr>
        <w:t xml:space="preserve">180-grain </w:t>
      </w:r>
      <w:r w:rsidR="00C9653F">
        <w:rPr>
          <w:rFonts w:ascii="Arial" w:hAnsi="Arial" w:cs="Arial"/>
        </w:rPr>
        <w:t xml:space="preserve">10mm Auto </w:t>
      </w:r>
      <w:r>
        <w:rPr>
          <w:rFonts w:ascii="Arial" w:hAnsi="Arial" w:cs="Arial"/>
        </w:rPr>
        <w:t>load</w:t>
      </w:r>
      <w:r w:rsidRPr="00F82861">
        <w:rPr>
          <w:rFonts w:ascii="Arial" w:hAnsi="Arial" w:cs="Arial"/>
        </w:rPr>
        <w:t xml:space="preserve"> </w:t>
      </w:r>
    </w:p>
    <w:p w14:paraId="26574250" w14:textId="77777777" w:rsidR="00F82861" w:rsidRDefault="00F82861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F82861">
        <w:rPr>
          <w:rFonts w:ascii="Arial" w:hAnsi="Arial" w:cs="Arial"/>
        </w:rPr>
        <w:t>VHP bullet</w:t>
      </w:r>
      <w:r w:rsidR="004451CC">
        <w:rPr>
          <w:rFonts w:ascii="Arial" w:hAnsi="Arial" w:cs="Arial"/>
        </w:rPr>
        <w:t>s</w:t>
      </w:r>
      <w:r w:rsidR="007049BE">
        <w:rPr>
          <w:rFonts w:ascii="Arial" w:hAnsi="Arial" w:cs="Arial"/>
        </w:rPr>
        <w:t xml:space="preserve"> based on proven Federal hollow-</w:t>
      </w:r>
      <w:r w:rsidRPr="00F82861">
        <w:rPr>
          <w:rFonts w:ascii="Arial" w:hAnsi="Arial" w:cs="Arial"/>
        </w:rPr>
        <w:t xml:space="preserve">point design </w:t>
      </w:r>
    </w:p>
    <w:p w14:paraId="7C97AD4F" w14:textId="77777777" w:rsidR="007C627E" w:rsidRPr="007C627E" w:rsidRDefault="00F82861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Reloadable </w:t>
      </w:r>
      <w:r w:rsidR="007C627E" w:rsidRPr="007C627E">
        <w:rPr>
          <w:rFonts w:ascii="Arial" w:hAnsi="Arial" w:cs="Arial"/>
        </w:rPr>
        <w:t>Federal brass case</w:t>
      </w:r>
    </w:p>
    <w:p w14:paraId="61E09D05" w14:textId="77777777" w:rsidR="007C627E" w:rsidRPr="007C627E" w:rsidRDefault="007C627E" w:rsidP="007C627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C627E">
        <w:rPr>
          <w:rFonts w:ascii="Arial" w:hAnsi="Arial" w:cs="Arial"/>
        </w:rPr>
        <w:t>Extremely reliable primer</w:t>
      </w:r>
    </w:p>
    <w:p w14:paraId="00F4A342" w14:textId="77777777" w:rsidR="00AD0285" w:rsidRPr="007C627E" w:rsidRDefault="007C627E" w:rsidP="007C627E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7C627E">
        <w:rPr>
          <w:rFonts w:ascii="Arial" w:hAnsi="Arial" w:cs="Arial"/>
        </w:rPr>
        <w:t>Loaded to produce consistent performance on the range and in defense situations</w:t>
      </w:r>
    </w:p>
    <w:p w14:paraId="4427D7AB" w14:textId="77777777" w:rsidR="007C627E" w:rsidRPr="00AD0285" w:rsidRDefault="007C627E" w:rsidP="007C627E">
      <w:pPr>
        <w:rPr>
          <w:rFonts w:ascii="Arial" w:hAnsi="Arial" w:cs="Arial"/>
          <w:bCs/>
        </w:rPr>
      </w:pPr>
    </w:p>
    <w:p w14:paraId="478999E8" w14:textId="77777777" w:rsidR="005C208C" w:rsidRPr="006E62E9" w:rsidRDefault="005C208C" w:rsidP="005C7FAC">
      <w:pPr>
        <w:tabs>
          <w:tab w:val="left" w:pos="2250"/>
          <w:tab w:val="left" w:pos="5670"/>
          <w:tab w:val="left" w:pos="837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14:paraId="76D45BE5" w14:textId="1ED57380" w:rsidR="007826A5" w:rsidRDefault="00447977" w:rsidP="005C7FAC">
      <w:pPr>
        <w:tabs>
          <w:tab w:val="left" w:pos="2250"/>
          <w:tab w:val="left" w:pos="5670"/>
          <w:tab w:val="left" w:pos="8370"/>
        </w:tabs>
        <w:rPr>
          <w:rFonts w:ascii="Arial" w:eastAsia="Arial Unicode MS" w:hAnsi="Arial" w:cs="Arial"/>
        </w:rPr>
      </w:pPr>
      <w:r w:rsidRPr="00447977">
        <w:rPr>
          <w:rFonts w:ascii="Arial" w:eastAsia="Arial Unicode MS" w:hAnsi="Arial" w:cs="Arial"/>
        </w:rPr>
        <w:t>TP10VHP1</w:t>
      </w:r>
      <w:r w:rsidRPr="00447977">
        <w:rPr>
          <w:rFonts w:ascii="Arial" w:eastAsia="Arial Unicode MS" w:hAnsi="Arial" w:cs="Arial"/>
        </w:rPr>
        <w:tab/>
        <w:t>10MM AUTO 180GR VHP</w:t>
      </w:r>
      <w:r w:rsidRPr="00447977">
        <w:rPr>
          <w:rFonts w:ascii="Arial" w:eastAsia="Arial Unicode MS" w:hAnsi="Arial" w:cs="Arial"/>
        </w:rPr>
        <w:tab/>
        <w:t>604544 68725 5</w:t>
      </w:r>
      <w:r w:rsidRPr="00447977">
        <w:rPr>
          <w:rFonts w:ascii="Arial" w:eastAsia="Arial Unicode MS" w:hAnsi="Arial" w:cs="Arial"/>
        </w:rPr>
        <w:tab/>
        <w:t>$57.99</w:t>
      </w:r>
    </w:p>
    <w:p w14:paraId="4BD6650A" w14:textId="77777777" w:rsidR="00F629B3" w:rsidRDefault="00F629B3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p w14:paraId="7AEF0C6B" w14:textId="684F0B28" w:rsidR="008A2102" w:rsidRDefault="00814943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2FC0C53" wp14:editId="04D68150">
            <wp:extent cx="6400800" cy="2790825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5244" w14:textId="77777777" w:rsidR="008A2102" w:rsidRPr="005C208C" w:rsidRDefault="008A2102" w:rsidP="00F629B3">
      <w:pPr>
        <w:tabs>
          <w:tab w:val="left" w:pos="1710"/>
          <w:tab w:val="left" w:pos="5490"/>
          <w:tab w:val="left" w:pos="8730"/>
        </w:tabs>
        <w:jc w:val="center"/>
        <w:rPr>
          <w:rFonts w:ascii="Arial" w:hAnsi="Arial" w:cs="Arial"/>
          <w:bCs/>
        </w:rPr>
      </w:pPr>
    </w:p>
    <w:sectPr w:rsidR="008A2102" w:rsidRPr="005C208C" w:rsidSect="00347A55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6C944" w14:textId="77777777" w:rsidR="00FE7310" w:rsidRDefault="00FE7310" w:rsidP="001D45D1">
      <w:r>
        <w:separator/>
      </w:r>
    </w:p>
  </w:endnote>
  <w:endnote w:type="continuationSeparator" w:id="0">
    <w:p w14:paraId="61B15B7E" w14:textId="77777777"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7781D" w14:textId="77777777" w:rsidR="00777DA5" w:rsidRDefault="00347A55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 wp14:anchorId="0BF3DA0D" wp14:editId="2500D5A7">
          <wp:extent cx="7753350" cy="1003782"/>
          <wp:effectExtent l="0" t="0" r="0" b="635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732" cy="1022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86A14" w14:textId="77777777" w:rsidR="00FE7310" w:rsidRDefault="00FE7310" w:rsidP="001D45D1">
      <w:r>
        <w:separator/>
      </w:r>
    </w:p>
  </w:footnote>
  <w:footnote w:type="continuationSeparator" w:id="0">
    <w:p w14:paraId="42A5E214" w14:textId="77777777"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7DAA" w14:textId="77777777" w:rsidR="000234B8" w:rsidRDefault="00347A55" w:rsidP="00347A55">
    <w:pPr>
      <w:pStyle w:val="Header"/>
      <w:ind w:left="-1080"/>
      <w:jc w:val="right"/>
    </w:pPr>
    <w:r>
      <w:rPr>
        <w:noProof/>
      </w:rPr>
      <w:drawing>
        <wp:inline distT="0" distB="0" distL="0" distR="0" wp14:anchorId="69125938" wp14:editId="7FF598CC">
          <wp:extent cx="7775205" cy="1885950"/>
          <wp:effectExtent l="0" t="0" r="0" b="0"/>
          <wp:docPr id="1" name="Picture 1" descr="C:\Users\e57914\AppData\Local\Microsoft\Windows\Temporary Internet Files\Content.Word\Federal_Header_Training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Training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295" cy="1888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3386276">
    <w:abstractNumId w:val="9"/>
  </w:num>
  <w:num w:numId="2" w16cid:durableId="1273325430">
    <w:abstractNumId w:val="7"/>
  </w:num>
  <w:num w:numId="3" w16cid:durableId="709190251">
    <w:abstractNumId w:val="6"/>
  </w:num>
  <w:num w:numId="4" w16cid:durableId="841815815">
    <w:abstractNumId w:val="5"/>
  </w:num>
  <w:num w:numId="5" w16cid:durableId="172040045">
    <w:abstractNumId w:val="4"/>
  </w:num>
  <w:num w:numId="6" w16cid:durableId="250091501">
    <w:abstractNumId w:val="8"/>
  </w:num>
  <w:num w:numId="7" w16cid:durableId="2080204277">
    <w:abstractNumId w:val="3"/>
  </w:num>
  <w:num w:numId="8" w16cid:durableId="261568377">
    <w:abstractNumId w:val="2"/>
  </w:num>
  <w:num w:numId="9" w16cid:durableId="973020215">
    <w:abstractNumId w:val="1"/>
  </w:num>
  <w:num w:numId="10" w16cid:durableId="446124982">
    <w:abstractNumId w:val="0"/>
  </w:num>
  <w:num w:numId="11" w16cid:durableId="742071125">
    <w:abstractNumId w:val="13"/>
  </w:num>
  <w:num w:numId="12" w16cid:durableId="1842425989">
    <w:abstractNumId w:val="12"/>
  </w:num>
  <w:num w:numId="13" w16cid:durableId="821118737">
    <w:abstractNumId w:val="13"/>
  </w:num>
  <w:num w:numId="14" w16cid:durableId="1165316334">
    <w:abstractNumId w:val="11"/>
  </w:num>
  <w:num w:numId="15" w16cid:durableId="608776092">
    <w:abstractNumId w:val="17"/>
  </w:num>
  <w:num w:numId="16" w16cid:durableId="307514776">
    <w:abstractNumId w:val="15"/>
  </w:num>
  <w:num w:numId="17" w16cid:durableId="888147239">
    <w:abstractNumId w:val="10"/>
  </w:num>
  <w:num w:numId="18" w16cid:durableId="494953654">
    <w:abstractNumId w:val="14"/>
  </w:num>
  <w:num w:numId="19" w16cid:durableId="30350759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3B46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1855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2399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51CC"/>
    <w:rsid w:val="00446C3E"/>
    <w:rsid w:val="00447977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26A5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4943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2102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04B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1DFD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6938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979E0"/>
    <w:rsid w:val="00A97A0C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9653F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3FFA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3334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82861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ACEE3A3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68DF3-CC56-46EA-9242-C665602E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2014-10-08T20:51:00Z</cp:lastPrinted>
  <dcterms:created xsi:type="dcterms:W3CDTF">2022-11-14T20:58:00Z</dcterms:created>
  <dcterms:modified xsi:type="dcterms:W3CDTF">2022-11-14T20:58:00Z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