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01" w:rsidRPr="001E4878" w:rsidRDefault="00B70A01" w:rsidP="00B70A01">
      <w:pPr>
        <w:contextualSpacing/>
        <w:rPr>
          <w:rFonts w:ascii="Arial Black" w:hAnsi="Arial Black" w:cs="Arial"/>
          <w:i/>
          <w:sz w:val="24"/>
          <w:szCs w:val="24"/>
        </w:rPr>
      </w:pPr>
      <w:r w:rsidRPr="001E4878">
        <w:rPr>
          <w:rFonts w:ascii="Arial Black" w:hAnsi="Arial Black" w:cs="Arial"/>
          <w:i/>
          <w:sz w:val="24"/>
          <w:szCs w:val="24"/>
        </w:rPr>
        <w:t>Double Bull</w:t>
      </w:r>
      <w:r w:rsidRPr="001E4878">
        <w:rPr>
          <w:rFonts w:ascii="Arial Black" w:hAnsi="Arial Black" w:cs="Arial"/>
          <w:i/>
          <w:sz w:val="24"/>
          <w:szCs w:val="24"/>
          <w:vertAlign w:val="superscript"/>
        </w:rPr>
        <w:t>®</w:t>
      </w:r>
      <w:r w:rsidRPr="001E4878">
        <w:rPr>
          <w:rFonts w:ascii="Arial Black" w:hAnsi="Arial Black" w:cs="Arial"/>
          <w:i/>
          <w:sz w:val="24"/>
          <w:szCs w:val="24"/>
        </w:rPr>
        <w:t xml:space="preserve"> Bullpen</w:t>
      </w:r>
    </w:p>
    <w:p w:rsidR="00B70A01" w:rsidRPr="001E4878" w:rsidRDefault="00B70A01" w:rsidP="00B70A01">
      <w:pPr>
        <w:contextualSpacing/>
        <w:rPr>
          <w:rFonts w:ascii="Arial" w:hAnsi="Arial" w:cs="Arial"/>
          <w:sz w:val="24"/>
          <w:szCs w:val="24"/>
        </w:rPr>
      </w:pPr>
      <w:r w:rsidRPr="001E4878">
        <w:rPr>
          <w:rFonts w:ascii="Arial" w:hAnsi="Arial" w:cs="Arial"/>
          <w:sz w:val="24"/>
          <w:szCs w:val="24"/>
        </w:rPr>
        <w:t xml:space="preserve">The </w:t>
      </w:r>
      <w:proofErr w:type="spellStart"/>
      <w:r w:rsidRPr="001E4878">
        <w:rPr>
          <w:rFonts w:ascii="Arial" w:hAnsi="Arial" w:cs="Arial"/>
          <w:sz w:val="24"/>
          <w:szCs w:val="24"/>
        </w:rPr>
        <w:t>Primos</w:t>
      </w:r>
      <w:proofErr w:type="spellEnd"/>
      <w:r w:rsidRPr="001E4878">
        <w:rPr>
          <w:rFonts w:ascii="Arial" w:hAnsi="Arial" w:cs="Arial"/>
          <w:sz w:val="24"/>
          <w:szCs w:val="24"/>
          <w:vertAlign w:val="superscript"/>
        </w:rPr>
        <w:t>®</w:t>
      </w:r>
      <w:r w:rsidRPr="001E4878">
        <w:rPr>
          <w:rFonts w:ascii="Arial" w:hAnsi="Arial" w:cs="Arial"/>
          <w:sz w:val="24"/>
          <w:szCs w:val="24"/>
        </w:rPr>
        <w:t xml:space="preserve"> Double Bull Bullpen ground blind is built rock solid. It features a newly-designed hub system that makes setting up and taking down the blind easy and prevents rods from breaking. It has plenty of room for multiple people to sit comfortably while remaining concealed. The patented Double Bull silent slide window adjustment system allows hunters to perfectly set up the blind for bow or gun hunting. </w:t>
      </w:r>
    </w:p>
    <w:p w:rsidR="00B70A01" w:rsidRPr="001E4878" w:rsidRDefault="00B70A01" w:rsidP="00B70A01">
      <w:pPr>
        <w:contextualSpacing/>
        <w:rPr>
          <w:rFonts w:ascii="Arial" w:hAnsi="Arial" w:cs="Arial"/>
          <w:noProof/>
          <w:sz w:val="24"/>
          <w:szCs w:val="24"/>
        </w:rPr>
      </w:pPr>
    </w:p>
    <w:p w:rsidR="00B70A01" w:rsidRPr="001E4878" w:rsidRDefault="00B70A01" w:rsidP="00B70A01">
      <w:pPr>
        <w:contextualSpacing/>
        <w:rPr>
          <w:rFonts w:ascii="Arial" w:hAnsi="Arial" w:cs="Arial"/>
          <w:b/>
          <w:sz w:val="24"/>
          <w:szCs w:val="24"/>
        </w:rPr>
      </w:pPr>
      <w:r w:rsidRPr="001E4878">
        <w:rPr>
          <w:rFonts w:ascii="Arial" w:hAnsi="Arial" w:cs="Arial"/>
          <w:b/>
          <w:sz w:val="24"/>
          <w:szCs w:val="24"/>
        </w:rPr>
        <w:t>Features &amp; Benefits</w:t>
      </w:r>
    </w:p>
    <w:p w:rsidR="00F82B61" w:rsidRDefault="00B70A0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sidRPr="00F82B61">
        <w:rPr>
          <w:rFonts w:ascii="Arial" w:eastAsiaTheme="minorEastAsia" w:hAnsi="Arial" w:cs="Arial"/>
          <w:bCs/>
          <w:color w:val="000000" w:themeColor="text1"/>
          <w:kern w:val="24"/>
          <w:sz w:val="24"/>
          <w:szCs w:val="24"/>
        </w:rPr>
        <w:t>New, improved hub system</w:t>
      </w:r>
      <w:bookmarkStart w:id="0" w:name="_GoBack"/>
      <w:bookmarkEnd w:id="0"/>
    </w:p>
    <w:p w:rsidR="00F82B61" w:rsidRPr="00F82B61" w:rsidRDefault="00B70A0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sidRPr="00F82B61">
        <w:rPr>
          <w:rFonts w:ascii="Arial" w:eastAsiaTheme="minorEastAsia" w:hAnsi="Arial" w:cs="Arial"/>
          <w:bCs/>
          <w:color w:val="000000" w:themeColor="text1"/>
          <w:kern w:val="24"/>
          <w:sz w:val="24"/>
          <w:szCs w:val="24"/>
        </w:rPr>
        <w:t>New Truth camo</w:t>
      </w:r>
    </w:p>
    <w:p w:rsidR="00F82B61" w:rsidRPr="00F82B61" w:rsidRDefault="00B70A0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sidRPr="00F82B61">
        <w:rPr>
          <w:rFonts w:ascii="Arial" w:eastAsiaTheme="minorEastAsia" w:hAnsi="Arial" w:cs="Arial"/>
          <w:bCs/>
          <w:color w:val="000000" w:themeColor="text1"/>
          <w:kern w:val="24"/>
          <w:sz w:val="24"/>
          <w:szCs w:val="24"/>
        </w:rPr>
        <w:t>Lighter weight  five-hub model</w:t>
      </w:r>
    </w:p>
    <w:p w:rsidR="00F82B61" w:rsidRPr="00F82B61" w:rsidRDefault="00B70A0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sidRPr="00F82B61">
        <w:rPr>
          <w:rFonts w:ascii="Arial" w:eastAsiaTheme="minorEastAsia" w:hAnsi="Arial" w:cs="Arial"/>
          <w:bCs/>
          <w:color w:val="000000" w:themeColor="text1"/>
          <w:kern w:val="24"/>
          <w:sz w:val="24"/>
          <w:szCs w:val="24"/>
        </w:rPr>
        <w:t>Smaller pack size</w:t>
      </w:r>
    </w:p>
    <w:p w:rsidR="00F82B61" w:rsidRPr="00F82B61" w:rsidRDefault="00B70A0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sidRPr="00F82B61">
        <w:rPr>
          <w:rFonts w:ascii="Arial" w:eastAsiaTheme="minorEastAsia" w:hAnsi="Arial" w:cs="Arial"/>
          <w:bCs/>
          <w:color w:val="000000" w:themeColor="text1"/>
          <w:kern w:val="24"/>
          <w:sz w:val="24"/>
          <w:szCs w:val="24"/>
        </w:rPr>
        <w:t>Window height is perfect for crossbow and gun hunters</w:t>
      </w:r>
    </w:p>
    <w:p w:rsidR="00F82B61" w:rsidRPr="00F82B61" w:rsidRDefault="00F82B61" w:rsidP="00F82B61">
      <w:pPr>
        <w:numPr>
          <w:ilvl w:val="0"/>
          <w:numId w:val="1"/>
        </w:numPr>
        <w:spacing w:after="0" w:line="240" w:lineRule="auto"/>
        <w:contextualSpacing/>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72 inches wide and </w:t>
      </w:r>
      <w:r w:rsidRPr="00F82B61">
        <w:rPr>
          <w:rFonts w:ascii="Arial" w:eastAsiaTheme="minorEastAsia" w:hAnsi="Arial" w:cs="Arial"/>
          <w:bCs/>
          <w:color w:val="000000" w:themeColor="text1"/>
          <w:kern w:val="24"/>
          <w:sz w:val="24"/>
          <w:szCs w:val="24"/>
        </w:rPr>
        <w:t>5</w:t>
      </w:r>
      <w:r>
        <w:rPr>
          <w:rFonts w:ascii="Arial" w:eastAsiaTheme="minorEastAsia" w:hAnsi="Arial" w:cs="Arial"/>
          <w:bCs/>
          <w:color w:val="000000" w:themeColor="text1"/>
          <w:kern w:val="24"/>
          <w:sz w:val="24"/>
          <w:szCs w:val="24"/>
        </w:rPr>
        <w:t xml:space="preserve"> feet,</w:t>
      </w:r>
      <w:r w:rsidRPr="00F82B61">
        <w:rPr>
          <w:rFonts w:ascii="Arial" w:eastAsiaTheme="minorEastAsia" w:hAnsi="Arial" w:cs="Arial"/>
          <w:bCs/>
          <w:color w:val="000000" w:themeColor="text1"/>
          <w:kern w:val="24"/>
          <w:sz w:val="24"/>
          <w:szCs w:val="24"/>
        </w:rPr>
        <w:t xml:space="preserve"> 7 inches </w:t>
      </w:r>
      <w:r>
        <w:rPr>
          <w:rFonts w:ascii="Arial" w:eastAsiaTheme="minorEastAsia" w:hAnsi="Arial" w:cs="Arial"/>
          <w:bCs/>
          <w:color w:val="000000" w:themeColor="text1"/>
          <w:kern w:val="24"/>
          <w:sz w:val="24"/>
          <w:szCs w:val="24"/>
        </w:rPr>
        <w:t>tall</w:t>
      </w:r>
    </w:p>
    <w:p w:rsidR="00B70A01" w:rsidRPr="001E4878" w:rsidRDefault="00F82B61" w:rsidP="00F82B61">
      <w:pPr>
        <w:numPr>
          <w:ilvl w:val="0"/>
          <w:numId w:val="1"/>
        </w:numPr>
        <w:spacing w:after="0" w:line="240" w:lineRule="auto"/>
        <w:contextualSpacing/>
        <w:rPr>
          <w:rFonts w:ascii="Arial" w:hAnsi="Arial" w:cs="Arial"/>
          <w:sz w:val="24"/>
          <w:szCs w:val="24"/>
        </w:rPr>
      </w:pPr>
      <w:r w:rsidRPr="00F82B61">
        <w:rPr>
          <w:rFonts w:ascii="Arial" w:eastAsiaTheme="minorEastAsia" w:hAnsi="Arial" w:cs="Arial"/>
          <w:bCs/>
          <w:color w:val="000000" w:themeColor="text1"/>
          <w:kern w:val="24"/>
          <w:sz w:val="24"/>
          <w:szCs w:val="24"/>
        </w:rPr>
        <w:t xml:space="preserve">Weight: 23 </w:t>
      </w:r>
      <w:proofErr w:type="spellStart"/>
      <w:r w:rsidRPr="00F82B61">
        <w:rPr>
          <w:rFonts w:ascii="Arial" w:eastAsiaTheme="minorEastAsia" w:hAnsi="Arial" w:cs="Arial"/>
          <w:bCs/>
          <w:color w:val="000000" w:themeColor="text1"/>
          <w:kern w:val="24"/>
          <w:sz w:val="24"/>
          <w:szCs w:val="24"/>
        </w:rPr>
        <w:t>lbs</w:t>
      </w:r>
      <w:proofErr w:type="spellEnd"/>
    </w:p>
    <w:p w:rsidR="00B70A01" w:rsidRPr="00D464FF" w:rsidRDefault="00B70A01" w:rsidP="00B70A01">
      <w:pPr>
        <w:contextualSpacing/>
        <w:rPr>
          <w:rFonts w:ascii="Arial" w:hAnsi="Arial" w:cs="Arial"/>
        </w:rPr>
      </w:pPr>
    </w:p>
    <w:p w:rsidR="001E4878" w:rsidRDefault="00B70A01" w:rsidP="001E4878">
      <w:pPr>
        <w:tabs>
          <w:tab w:val="left" w:pos="1350"/>
          <w:tab w:val="left" w:pos="3676"/>
          <w:tab w:val="left" w:pos="5310"/>
          <w:tab w:val="left" w:pos="7640"/>
        </w:tabs>
        <w:autoSpaceDE w:val="0"/>
        <w:autoSpaceDN w:val="0"/>
        <w:adjustRightInd w:val="0"/>
        <w:contextualSpacing/>
        <w:rPr>
          <w:rFonts w:ascii="Arial" w:hAnsi="Arial" w:cs="Arial"/>
          <w:b/>
        </w:rPr>
      </w:pPr>
      <w:r w:rsidRPr="00D464FF">
        <w:rPr>
          <w:rFonts w:ascii="Arial" w:hAnsi="Arial" w:cs="Arial"/>
          <w:b/>
          <w:bCs/>
        </w:rPr>
        <w:t xml:space="preserve">Part No.   </w:t>
      </w:r>
      <w:r w:rsidRPr="00D464FF">
        <w:rPr>
          <w:rFonts w:ascii="Arial" w:hAnsi="Arial" w:cs="Arial"/>
          <w:b/>
          <w:bCs/>
        </w:rPr>
        <w:tab/>
        <w:t>Description</w:t>
      </w:r>
      <w:r w:rsidRPr="00D464FF">
        <w:rPr>
          <w:rFonts w:ascii="Arial" w:hAnsi="Arial" w:cs="Arial"/>
          <w:b/>
          <w:bCs/>
        </w:rPr>
        <w:tab/>
      </w:r>
      <w:r w:rsidRPr="00D464FF">
        <w:rPr>
          <w:rFonts w:ascii="Arial" w:hAnsi="Arial" w:cs="Arial"/>
          <w:b/>
          <w:bCs/>
        </w:rPr>
        <w:tab/>
        <w:t>U</w:t>
      </w:r>
      <w:r w:rsidRPr="00D464FF">
        <w:rPr>
          <w:rFonts w:ascii="Arial" w:hAnsi="Arial" w:cs="Arial"/>
          <w:b/>
        </w:rPr>
        <w:t>PC</w:t>
      </w:r>
      <w:r w:rsidRPr="00D464FF">
        <w:rPr>
          <w:rFonts w:ascii="Arial" w:hAnsi="Arial" w:cs="Arial"/>
          <w:b/>
        </w:rPr>
        <w:tab/>
      </w:r>
      <w:r w:rsidRPr="00D464FF">
        <w:rPr>
          <w:rFonts w:ascii="Arial" w:hAnsi="Arial" w:cs="Arial"/>
          <w:b/>
        </w:rPr>
        <w:tab/>
        <w:t>MSR</w:t>
      </w:r>
      <w:r>
        <w:rPr>
          <w:rFonts w:ascii="Arial" w:hAnsi="Arial" w:cs="Arial"/>
          <w:b/>
        </w:rPr>
        <w:t>P</w:t>
      </w:r>
    </w:p>
    <w:p w:rsidR="00B70A01" w:rsidRPr="00D464FF" w:rsidRDefault="00B70A01" w:rsidP="001E4878">
      <w:pPr>
        <w:tabs>
          <w:tab w:val="left" w:pos="1350"/>
          <w:tab w:val="left" w:pos="3676"/>
          <w:tab w:val="left" w:pos="5310"/>
          <w:tab w:val="left" w:pos="7640"/>
        </w:tabs>
        <w:autoSpaceDE w:val="0"/>
        <w:autoSpaceDN w:val="0"/>
        <w:adjustRightInd w:val="0"/>
        <w:contextualSpacing/>
        <w:rPr>
          <w:rFonts w:ascii="Arial" w:hAnsi="Arial" w:cs="Arial"/>
          <w:bCs/>
          <w:color w:val="FF0000"/>
          <w:sz w:val="20"/>
          <w:szCs w:val="20"/>
        </w:rPr>
      </w:pPr>
      <w:r w:rsidRPr="00D464FF">
        <w:rPr>
          <w:rFonts w:ascii="Arial" w:hAnsi="Arial" w:cs="Arial"/>
          <w:bCs/>
          <w:sz w:val="20"/>
          <w:szCs w:val="20"/>
        </w:rPr>
        <w:t>60055</w:t>
      </w:r>
      <w:r w:rsidR="001E4878">
        <w:rPr>
          <w:rFonts w:ascii="Arial" w:hAnsi="Arial" w:cs="Arial"/>
          <w:bCs/>
          <w:sz w:val="20"/>
          <w:szCs w:val="20"/>
        </w:rPr>
        <w:tab/>
      </w:r>
      <w:r w:rsidRPr="00D464FF">
        <w:rPr>
          <w:rFonts w:ascii="Arial" w:hAnsi="Arial" w:cs="Arial"/>
          <w:bCs/>
          <w:sz w:val="20"/>
          <w:szCs w:val="20"/>
        </w:rPr>
        <w:t>Double Bull Bull</w:t>
      </w:r>
      <w:r>
        <w:rPr>
          <w:rFonts w:ascii="Arial" w:hAnsi="Arial" w:cs="Arial"/>
          <w:bCs/>
          <w:sz w:val="20"/>
          <w:szCs w:val="20"/>
        </w:rPr>
        <w:t>p</w:t>
      </w:r>
      <w:r w:rsidRPr="00D464FF">
        <w:rPr>
          <w:rFonts w:ascii="Arial" w:hAnsi="Arial" w:cs="Arial"/>
          <w:bCs/>
          <w:sz w:val="20"/>
          <w:szCs w:val="20"/>
        </w:rPr>
        <w:t>en</w:t>
      </w:r>
      <w:r w:rsidRPr="00D464FF">
        <w:rPr>
          <w:rFonts w:ascii="Arial" w:hAnsi="Arial" w:cs="Arial"/>
        </w:rPr>
        <w:tab/>
      </w:r>
      <w:r w:rsidRPr="00D464FF">
        <w:rPr>
          <w:rFonts w:ascii="Arial" w:hAnsi="Arial" w:cs="Arial"/>
        </w:rPr>
        <w:tab/>
      </w:r>
      <w:r w:rsidRPr="00D464FF">
        <w:rPr>
          <w:rFonts w:ascii="Arial" w:eastAsiaTheme="minorEastAsia" w:hAnsi="Arial" w:cs="Arial"/>
          <w:b/>
          <w:bCs/>
          <w:color w:val="000000" w:themeColor="text1"/>
          <w:kern w:val="24"/>
          <w:sz w:val="20"/>
          <w:szCs w:val="20"/>
        </w:rPr>
        <w:t>0-10135-60055-6</w:t>
      </w:r>
      <w:r w:rsidRPr="00D464FF">
        <w:rPr>
          <w:rFonts w:ascii="Arial" w:hAnsi="Arial" w:cs="Arial"/>
        </w:rPr>
        <w:tab/>
      </w:r>
      <w:r w:rsidRPr="00D464FF">
        <w:rPr>
          <w:rFonts w:ascii="Arial" w:hAnsi="Arial" w:cs="Arial"/>
        </w:rPr>
        <w:tab/>
      </w:r>
      <w:r w:rsidRPr="00D464FF">
        <w:rPr>
          <w:rFonts w:ascii="Arial" w:hAnsi="Arial" w:cs="Arial"/>
          <w:bCs/>
          <w:color w:val="000000" w:themeColor="text1"/>
          <w:sz w:val="20"/>
          <w:szCs w:val="20"/>
        </w:rPr>
        <w:t>$299.00</w:t>
      </w:r>
    </w:p>
    <w:p w:rsidR="00B70A01" w:rsidRPr="00D464FF" w:rsidRDefault="00B70A01" w:rsidP="00B70A01">
      <w:pPr>
        <w:pStyle w:val="NormalWeb"/>
        <w:spacing w:before="0" w:beforeAutospacing="0" w:after="0" w:afterAutospacing="0"/>
        <w:contextualSpacing/>
        <w:rPr>
          <w:rFonts w:ascii="Arial" w:eastAsiaTheme="minorHAnsi" w:hAnsi="Arial" w:cs="Arial"/>
          <w:bCs/>
          <w:color w:val="FF0000"/>
          <w:sz w:val="20"/>
          <w:szCs w:val="20"/>
        </w:rPr>
      </w:pPr>
    </w:p>
    <w:p w:rsidR="00B70A01" w:rsidRPr="00D464FF" w:rsidRDefault="00B70A01" w:rsidP="00B70A01">
      <w:pPr>
        <w:pStyle w:val="NormalWeb"/>
        <w:spacing w:before="0" w:beforeAutospacing="0" w:after="0" w:afterAutospacing="0"/>
        <w:contextualSpacing/>
        <w:rPr>
          <w:rFonts w:ascii="Arial" w:hAnsi="Arial" w:cs="Arial"/>
        </w:rPr>
      </w:pPr>
    </w:p>
    <w:p w:rsidR="00B70A01" w:rsidRPr="00D464FF" w:rsidRDefault="003B2282" w:rsidP="00B70A01">
      <w:pPr>
        <w:contextualSpacing/>
        <w:rPr>
          <w:rFonts w:ascii="Arial" w:hAnsi="Arial" w:cs="Arial"/>
        </w:rPr>
      </w:pPr>
      <w:r w:rsidRPr="00D464FF">
        <w:rPr>
          <w:rFonts w:ascii="Arial" w:hAnsi="Arial" w:cs="Arial"/>
          <w:noProof/>
        </w:rPr>
        <w:drawing>
          <wp:anchor distT="0" distB="0" distL="114300" distR="114300" simplePos="0" relativeHeight="251659264" behindDoc="0" locked="0" layoutInCell="1" allowOverlap="1" wp14:anchorId="741D74BD" wp14:editId="29146AE0">
            <wp:simplePos x="0" y="0"/>
            <wp:positionH relativeFrom="margin">
              <wp:posOffset>3921760</wp:posOffset>
            </wp:positionH>
            <wp:positionV relativeFrom="margin">
              <wp:posOffset>3688715</wp:posOffset>
            </wp:positionV>
            <wp:extent cx="2231390" cy="1567815"/>
            <wp:effectExtent l="0" t="0" r="0" b="0"/>
            <wp:wrapSquare wrapText="bothSides"/>
            <wp:docPr id="2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390" cy="1567815"/>
                    </a:xfrm>
                    <a:prstGeom prst="rect">
                      <a:avLst/>
                    </a:prstGeom>
                  </pic:spPr>
                </pic:pic>
              </a:graphicData>
            </a:graphic>
          </wp:anchor>
        </w:drawing>
      </w:r>
      <w:r w:rsidR="00B70A01" w:rsidRPr="00D464FF">
        <w:rPr>
          <w:rFonts w:ascii="Arial" w:hAnsi="Arial" w:cs="Arial"/>
          <w:noProof/>
        </w:rPr>
        <w:drawing>
          <wp:anchor distT="0" distB="0" distL="114300" distR="114300" simplePos="0" relativeHeight="251658240" behindDoc="0" locked="0" layoutInCell="1" allowOverlap="1" wp14:anchorId="2AD07C9F" wp14:editId="1B49AA78">
            <wp:simplePos x="914400" y="5523230"/>
            <wp:positionH relativeFrom="margin">
              <wp:align>left</wp:align>
            </wp:positionH>
            <wp:positionV relativeFrom="margin">
              <wp:align>bottom</wp:align>
            </wp:positionV>
            <wp:extent cx="3706495" cy="3539490"/>
            <wp:effectExtent l="0" t="0" r="8255" b="381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7364" cy="3540190"/>
                    </a:xfrm>
                    <a:prstGeom prst="rect">
                      <a:avLst/>
                    </a:prstGeom>
                  </pic:spPr>
                </pic:pic>
              </a:graphicData>
            </a:graphic>
            <wp14:sizeRelH relativeFrom="margin">
              <wp14:pctWidth>0</wp14:pctWidth>
            </wp14:sizeRelH>
            <wp14:sizeRelV relativeFrom="margin">
              <wp14:pctHeight>0</wp14:pctHeight>
            </wp14:sizeRelV>
          </wp:anchor>
        </w:drawing>
      </w:r>
      <w:r w:rsidR="00B70A01" w:rsidRPr="00D464FF">
        <w:rPr>
          <w:rFonts w:ascii="Arial" w:hAnsi="Arial" w:cs="Arial"/>
        </w:rPr>
        <w:t xml:space="preserve">         </w:t>
      </w:r>
    </w:p>
    <w:sectPr w:rsidR="00B70A01" w:rsidRPr="00D464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01" w:rsidRDefault="00B70A01" w:rsidP="00B70A01">
      <w:pPr>
        <w:spacing w:after="0" w:line="240" w:lineRule="auto"/>
      </w:pPr>
      <w:r>
        <w:separator/>
      </w:r>
    </w:p>
  </w:endnote>
  <w:endnote w:type="continuationSeparator" w:id="0">
    <w:p w:rsidR="00B70A01" w:rsidRDefault="00B70A01" w:rsidP="00B7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5" w:rsidRDefault="00F82B61" w:rsidP="00572075">
    <w:pPr>
      <w:pStyle w:val="Footer"/>
      <w:jc w:val="center"/>
      <w:rPr>
        <w:rFonts w:ascii="Arial Unicode MS" w:eastAsia="Arial Unicode MS" w:hAnsi="Arial Unicode MS" w:cs="Arial Unicode MS"/>
        <w:color w:val="000000"/>
        <w:sz w:val="17"/>
      </w:rPr>
    </w:pPr>
  </w:p>
  <w:p w:rsidR="00EC1E25" w:rsidRDefault="00F82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5" w:rsidRDefault="00F82B61" w:rsidP="00572075">
    <w:pPr>
      <w:pStyle w:val="Footer"/>
      <w:tabs>
        <w:tab w:val="clear" w:pos="8640"/>
        <w:tab w:val="right" w:pos="10080"/>
      </w:tabs>
      <w:jc w:val="center"/>
      <w:rPr>
        <w:rFonts w:ascii="Arial Unicode MS" w:eastAsia="Arial Unicode MS" w:hAnsi="Arial Unicode MS" w:cs="Arial Unicode MS"/>
        <w:color w:val="000000"/>
        <w:sz w:val="17"/>
      </w:rPr>
    </w:pPr>
  </w:p>
  <w:p w:rsidR="00EC1E25" w:rsidRPr="0061336D" w:rsidRDefault="00B70A01">
    <w:pPr>
      <w:pStyle w:val="Footer"/>
      <w:tabs>
        <w:tab w:val="clear" w:pos="8640"/>
        <w:tab w:val="right" w:pos="10080"/>
      </w:tabs>
    </w:pPr>
    <w:r>
      <w:rPr>
        <w:rFonts w:ascii="Arial" w:hAnsi="Arial" w:cs="Arial"/>
        <w:sz w:val="20"/>
      </w:rPr>
      <w:t>Primos</w:t>
    </w:r>
    <w:r w:rsidRPr="0061336D">
      <w:rPr>
        <w:rFonts w:ascii="Arial" w:hAnsi="Arial" w:cs="Arial"/>
        <w:sz w:val="20"/>
      </w:rPr>
      <w:t>.com</w:t>
    </w:r>
    <w:r w:rsidRPr="0061336D">
      <w:rPr>
        <w:rFonts w:ascii="Arial" w:hAnsi="Arial" w:cs="Arial"/>
        <w:sz w:val="20"/>
      </w:rPr>
      <w:tab/>
    </w:r>
    <w:r w:rsidRPr="0061336D">
      <w:rPr>
        <w:rFonts w:ascii="Arial" w:hAnsi="Arial" w:cs="Arial"/>
        <w:sz w:val="20"/>
      </w:rPr>
      <w:tab/>
      <w:t xml:space="preserve">Copyright © 2014 ATK    </w:t>
    </w:r>
    <w:r>
      <w:rPr>
        <w:rFonts w:ascii="Arial" w:hAnsi="Arial" w:cs="Arial"/>
        <w:sz w:val="20"/>
      </w:rPr>
      <w:t>04</w:t>
    </w:r>
    <w:r w:rsidRPr="0061336D">
      <w:rPr>
        <w:rFonts w:ascii="Arial" w:hAnsi="Arial" w:cs="Arial"/>
        <w:sz w:val="20"/>
      </w:rPr>
      <w:t>0115</w:t>
    </w:r>
    <w:r w:rsidRPr="0061336D">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5" w:rsidRDefault="00F82B61" w:rsidP="00572075">
    <w:pPr>
      <w:pStyle w:val="Footer"/>
      <w:jc w:val="center"/>
      <w:rPr>
        <w:rFonts w:ascii="Arial Unicode MS" w:eastAsia="Arial Unicode MS" w:hAnsi="Arial Unicode MS" w:cs="Arial Unicode MS"/>
        <w:color w:val="000000"/>
        <w:sz w:val="17"/>
      </w:rPr>
    </w:pPr>
  </w:p>
  <w:p w:rsidR="00EC1E25" w:rsidRDefault="00F8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01" w:rsidRDefault="00B70A01" w:rsidP="00B70A01">
      <w:pPr>
        <w:spacing w:after="0" w:line="240" w:lineRule="auto"/>
      </w:pPr>
      <w:r>
        <w:separator/>
      </w:r>
    </w:p>
  </w:footnote>
  <w:footnote w:type="continuationSeparator" w:id="0">
    <w:p w:rsidR="00B70A01" w:rsidRDefault="00B70A01" w:rsidP="00B7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01" w:rsidRDefault="00B70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5" w:rsidRPr="004F4B4F" w:rsidRDefault="00B70A01" w:rsidP="004F4B4F">
    <w:pPr>
      <w:pStyle w:val="Heading4"/>
      <w:pBdr>
        <w:bottom w:val="single" w:sz="6" w:space="1" w:color="auto"/>
      </w:pBdr>
      <w:rPr>
        <w:rFonts w:ascii="Arial Black" w:hAnsi="Arial Black"/>
        <w:i/>
        <w:iCs/>
        <w:sz w:val="44"/>
      </w:rPr>
    </w:pPr>
    <w:r>
      <w:rPr>
        <w:rFonts w:ascii="Arial Black" w:hAnsi="Arial Black"/>
        <w:i/>
        <w:iCs/>
        <w:sz w:val="44"/>
      </w:rPr>
      <w:br/>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04622F05" wp14:editId="45B29547">
          <wp:extent cx="1371600" cy="520065"/>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Pr>
        <w:rFonts w:ascii="Arial Unicode MS" w:eastAsia="Arial Unicode MS" w:hAnsi="Arial Unicode MS" w:cs="Arial Unicode MS"/>
        <w:sz w:val="32"/>
      </w:rPr>
      <w:t xml:space="preserve">Ground Blinds </w:t>
    </w:r>
  </w:p>
  <w:p w:rsidR="00EC1E25" w:rsidRDefault="00F82B6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01" w:rsidRDefault="00B70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589"/>
    <w:multiLevelType w:val="hybridMultilevel"/>
    <w:tmpl w:val="51FA5A04"/>
    <w:lvl w:ilvl="0" w:tplc="C0E233EA">
      <w:start w:val="1"/>
      <w:numFmt w:val="bullet"/>
      <w:lvlText w:val="•"/>
      <w:lvlJc w:val="left"/>
      <w:pPr>
        <w:tabs>
          <w:tab w:val="num" w:pos="720"/>
        </w:tabs>
        <w:ind w:left="720" w:hanging="360"/>
      </w:pPr>
      <w:rPr>
        <w:rFonts w:ascii="Arial" w:hAnsi="Arial" w:hint="default"/>
      </w:rPr>
    </w:lvl>
    <w:lvl w:ilvl="1" w:tplc="0AD87FAC" w:tentative="1">
      <w:start w:val="1"/>
      <w:numFmt w:val="bullet"/>
      <w:lvlText w:val="•"/>
      <w:lvlJc w:val="left"/>
      <w:pPr>
        <w:tabs>
          <w:tab w:val="num" w:pos="1440"/>
        </w:tabs>
        <w:ind w:left="1440" w:hanging="360"/>
      </w:pPr>
      <w:rPr>
        <w:rFonts w:ascii="Arial" w:hAnsi="Arial" w:hint="default"/>
      </w:rPr>
    </w:lvl>
    <w:lvl w:ilvl="2" w:tplc="727EE096" w:tentative="1">
      <w:start w:val="1"/>
      <w:numFmt w:val="bullet"/>
      <w:lvlText w:val="•"/>
      <w:lvlJc w:val="left"/>
      <w:pPr>
        <w:tabs>
          <w:tab w:val="num" w:pos="2160"/>
        </w:tabs>
        <w:ind w:left="2160" w:hanging="360"/>
      </w:pPr>
      <w:rPr>
        <w:rFonts w:ascii="Arial" w:hAnsi="Arial" w:hint="default"/>
      </w:rPr>
    </w:lvl>
    <w:lvl w:ilvl="3" w:tplc="5B009766" w:tentative="1">
      <w:start w:val="1"/>
      <w:numFmt w:val="bullet"/>
      <w:lvlText w:val="•"/>
      <w:lvlJc w:val="left"/>
      <w:pPr>
        <w:tabs>
          <w:tab w:val="num" w:pos="2880"/>
        </w:tabs>
        <w:ind w:left="2880" w:hanging="360"/>
      </w:pPr>
      <w:rPr>
        <w:rFonts w:ascii="Arial" w:hAnsi="Arial" w:hint="default"/>
      </w:rPr>
    </w:lvl>
    <w:lvl w:ilvl="4" w:tplc="9DD80D3A" w:tentative="1">
      <w:start w:val="1"/>
      <w:numFmt w:val="bullet"/>
      <w:lvlText w:val="•"/>
      <w:lvlJc w:val="left"/>
      <w:pPr>
        <w:tabs>
          <w:tab w:val="num" w:pos="3600"/>
        </w:tabs>
        <w:ind w:left="3600" w:hanging="360"/>
      </w:pPr>
      <w:rPr>
        <w:rFonts w:ascii="Arial" w:hAnsi="Arial" w:hint="default"/>
      </w:rPr>
    </w:lvl>
    <w:lvl w:ilvl="5" w:tplc="D61204A4" w:tentative="1">
      <w:start w:val="1"/>
      <w:numFmt w:val="bullet"/>
      <w:lvlText w:val="•"/>
      <w:lvlJc w:val="left"/>
      <w:pPr>
        <w:tabs>
          <w:tab w:val="num" w:pos="4320"/>
        </w:tabs>
        <w:ind w:left="4320" w:hanging="360"/>
      </w:pPr>
      <w:rPr>
        <w:rFonts w:ascii="Arial" w:hAnsi="Arial" w:hint="default"/>
      </w:rPr>
    </w:lvl>
    <w:lvl w:ilvl="6" w:tplc="4F7227C6" w:tentative="1">
      <w:start w:val="1"/>
      <w:numFmt w:val="bullet"/>
      <w:lvlText w:val="•"/>
      <w:lvlJc w:val="left"/>
      <w:pPr>
        <w:tabs>
          <w:tab w:val="num" w:pos="5040"/>
        </w:tabs>
        <w:ind w:left="5040" w:hanging="360"/>
      </w:pPr>
      <w:rPr>
        <w:rFonts w:ascii="Arial" w:hAnsi="Arial" w:hint="default"/>
      </w:rPr>
    </w:lvl>
    <w:lvl w:ilvl="7" w:tplc="483476E2" w:tentative="1">
      <w:start w:val="1"/>
      <w:numFmt w:val="bullet"/>
      <w:lvlText w:val="•"/>
      <w:lvlJc w:val="left"/>
      <w:pPr>
        <w:tabs>
          <w:tab w:val="num" w:pos="5760"/>
        </w:tabs>
        <w:ind w:left="5760" w:hanging="360"/>
      </w:pPr>
      <w:rPr>
        <w:rFonts w:ascii="Arial" w:hAnsi="Arial" w:hint="default"/>
      </w:rPr>
    </w:lvl>
    <w:lvl w:ilvl="8" w:tplc="1C2C46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01"/>
    <w:rsid w:val="001E4878"/>
    <w:rsid w:val="003B2282"/>
    <w:rsid w:val="004E748C"/>
    <w:rsid w:val="007C134D"/>
    <w:rsid w:val="00B70A01"/>
    <w:rsid w:val="00C3382B"/>
    <w:rsid w:val="00F8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70A01"/>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0A01"/>
    <w:rPr>
      <w:rFonts w:ascii="Arial" w:eastAsia="Times New Roman" w:hAnsi="Arial" w:cs="Arial"/>
      <w:caps/>
      <w:spacing w:val="-6"/>
      <w:sz w:val="28"/>
      <w:szCs w:val="24"/>
    </w:rPr>
  </w:style>
  <w:style w:type="paragraph" w:styleId="Header">
    <w:name w:val="header"/>
    <w:basedOn w:val="Normal"/>
    <w:link w:val="HeaderChar"/>
    <w:rsid w:val="00B70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0A01"/>
    <w:rPr>
      <w:rFonts w:ascii="Times New Roman" w:eastAsia="Times New Roman" w:hAnsi="Times New Roman" w:cs="Times New Roman"/>
      <w:sz w:val="24"/>
      <w:szCs w:val="24"/>
    </w:rPr>
  </w:style>
  <w:style w:type="paragraph" w:styleId="Footer">
    <w:name w:val="footer"/>
    <w:basedOn w:val="Normal"/>
    <w:link w:val="FooterChar"/>
    <w:rsid w:val="00B70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70A01"/>
    <w:rPr>
      <w:rFonts w:ascii="Times New Roman" w:eastAsia="Times New Roman" w:hAnsi="Times New Roman" w:cs="Times New Roman"/>
      <w:sz w:val="24"/>
      <w:szCs w:val="24"/>
    </w:rPr>
  </w:style>
  <w:style w:type="paragraph" w:styleId="NormalWeb">
    <w:name w:val="Normal (Web)"/>
    <w:basedOn w:val="Normal"/>
    <w:uiPriority w:val="99"/>
    <w:unhideWhenUsed/>
    <w:rsid w:val="00B70A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70A01"/>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0A01"/>
    <w:rPr>
      <w:rFonts w:ascii="Arial" w:eastAsia="Times New Roman" w:hAnsi="Arial" w:cs="Arial"/>
      <w:caps/>
      <w:spacing w:val="-6"/>
      <w:sz w:val="28"/>
      <w:szCs w:val="24"/>
    </w:rPr>
  </w:style>
  <w:style w:type="paragraph" w:styleId="Header">
    <w:name w:val="header"/>
    <w:basedOn w:val="Normal"/>
    <w:link w:val="HeaderChar"/>
    <w:rsid w:val="00B70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0A01"/>
    <w:rPr>
      <w:rFonts w:ascii="Times New Roman" w:eastAsia="Times New Roman" w:hAnsi="Times New Roman" w:cs="Times New Roman"/>
      <w:sz w:val="24"/>
      <w:szCs w:val="24"/>
    </w:rPr>
  </w:style>
  <w:style w:type="paragraph" w:styleId="Footer">
    <w:name w:val="footer"/>
    <w:basedOn w:val="Normal"/>
    <w:link w:val="FooterChar"/>
    <w:rsid w:val="00B70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70A01"/>
    <w:rPr>
      <w:rFonts w:ascii="Times New Roman" w:eastAsia="Times New Roman" w:hAnsi="Times New Roman" w:cs="Times New Roman"/>
      <w:sz w:val="24"/>
      <w:szCs w:val="24"/>
    </w:rPr>
  </w:style>
  <w:style w:type="paragraph" w:styleId="NormalWeb">
    <w:name w:val="Normal (Web)"/>
    <w:basedOn w:val="Normal"/>
    <w:uiPriority w:val="99"/>
    <w:unhideWhenUsed/>
    <w:rsid w:val="00B70A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663</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ATK CCI-Speer</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Edson</dc:creator>
  <cp:lastModifiedBy>Jacob Edson</cp:lastModifiedBy>
  <cp:revision>5</cp:revision>
  <cp:lastPrinted>2014-11-14T17:30:00Z</cp:lastPrinted>
  <dcterms:created xsi:type="dcterms:W3CDTF">2014-11-14T17:00:00Z</dcterms:created>
  <dcterms:modified xsi:type="dcterms:W3CDTF">2014-12-23T21:21:00Z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b5f6c38d-d398-4c6f-a04e-d061e6128cb1</vt:lpwstr>
  </property>
  <property fmtid="{D5CDD505-2E9C-101B-9397-08002B2CF9AE}" pid="3" name="ATKCategory">
    <vt:lpwstr>Alliant Techsystems Proprietary - Unmarked</vt:lpwstr>
  </property>
</Properties>
</file>